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9" w:type="dxa"/>
        <w:jc w:val="center"/>
        <w:tblInd w:w="456" w:type="dxa"/>
        <w:tblLayout w:type="fixed"/>
        <w:tblLook w:val="0000" w:firstRow="0" w:lastRow="0" w:firstColumn="0" w:lastColumn="0" w:noHBand="0" w:noVBand="0"/>
      </w:tblPr>
      <w:tblGrid>
        <w:gridCol w:w="4000"/>
        <w:gridCol w:w="5699"/>
      </w:tblGrid>
      <w:tr>
        <w:trPr>
          <w:trHeight w:val="1843"/>
          <w:jc w:val="center"/>
        </w:trPr>
        <w:tc>
          <w:tcPr>
            <w:tcW w:w="4000" w:type="dxa"/>
          </w:tcPr>
          <w:p>
            <w:pPr>
              <w:jc w:val="center"/>
              <w:rPr>
                <w:b/>
                <w:sz w:val="26"/>
                <w:szCs w:val="26"/>
              </w:rPr>
            </w:pPr>
            <w:r>
              <w:rPr>
                <w:b/>
                <w:sz w:val="26"/>
                <w:szCs w:val="26"/>
              </w:rPr>
              <w:t>ỦY BAN NHÂN DÂN</w:t>
            </w:r>
          </w:p>
          <w:p>
            <w:pPr>
              <w:jc w:val="center"/>
              <w:rPr>
                <w:b/>
                <w:sz w:val="26"/>
                <w:szCs w:val="26"/>
              </w:rPr>
            </w:pPr>
            <w:r>
              <w:rPr>
                <w:b/>
                <w:sz w:val="26"/>
                <w:szCs w:val="26"/>
              </w:rPr>
              <w:t xml:space="preserve"> HUYỆN LỘC HÀ</w:t>
            </w:r>
          </w:p>
          <w:p>
            <w:pPr>
              <w:jc w:val="center"/>
              <w:rPr>
                <w:sz w:val="26"/>
              </w:rPr>
            </w:pPr>
            <w:r>
              <w:rPr>
                <w:noProof/>
                <w:vertAlign w:val="superscript"/>
              </w:rPr>
              <mc:AlternateContent>
                <mc:Choice Requires="wps">
                  <w:drawing>
                    <wp:anchor distT="4294967295" distB="4294967295" distL="114300" distR="114300" simplePos="0" relativeHeight="251657216" behindDoc="0" locked="0" layoutInCell="1" allowOverlap="1">
                      <wp:simplePos x="0" y="0"/>
                      <wp:positionH relativeFrom="column">
                        <wp:posOffset>908355</wp:posOffset>
                      </wp:positionH>
                      <wp:positionV relativeFrom="paragraph">
                        <wp:posOffset>38100</wp:posOffset>
                      </wp:positionV>
                      <wp:extent cx="5715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3pt" to="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W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lE1T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"/>
                  </w:pict>
                </mc:Fallback>
              </mc:AlternateContent>
            </w:r>
            <w:r>
              <w:rPr>
                <w:vertAlign w:val="superscript"/>
              </w:rPr>
              <w:t xml:space="preserve"> </w:t>
            </w:r>
          </w:p>
          <w:p>
            <w:pPr>
              <w:jc w:val="center"/>
              <w:rPr>
                <w:sz w:val="26"/>
                <w:vertAlign w:val="subscript"/>
              </w:rPr>
            </w:pPr>
            <w:r>
              <w:rPr>
                <w:sz w:val="26"/>
              </w:rPr>
              <w:t>Số:         /UBND-TCKH</w:t>
            </w:r>
          </w:p>
          <w:p>
            <w:pPr>
              <w:jc w:val="center"/>
              <w:rPr>
                <w:lang w:val="nl-NL"/>
              </w:rPr>
            </w:pPr>
            <w:r>
              <w:rPr>
                <w:color w:val="000000"/>
                <w:sz w:val="22"/>
                <w:szCs w:val="26"/>
                <w:lang w:val="nl-NL"/>
              </w:rPr>
              <w:t>Về góp ý dự thảo Nghị quyết Quy định biểu mẫu, thời gian gửi báo cáo kế hoạch tài chính 05 năm, kế hoạch tài chính - ngân sách nhà nước 03 năm, dự toán, phân bổ ngân sách và quyết toán ngân sách địa phương; thời gian giao dự toán và phê chuẩn quyết toán NSĐP</w:t>
            </w:r>
          </w:p>
        </w:tc>
        <w:tc>
          <w:tcPr>
            <w:tcW w:w="5699" w:type="dxa"/>
          </w:tcPr>
          <w:p>
            <w:pPr>
              <w:jc w:val="center"/>
              <w:rPr>
                <w:b/>
                <w:sz w:val="26"/>
                <w:szCs w:val="26"/>
                <w:lang w:val="nl-NL"/>
              </w:rPr>
            </w:pPr>
            <w:r>
              <w:rPr>
                <w:b/>
                <w:sz w:val="26"/>
                <w:szCs w:val="26"/>
                <w:lang w:val="nl-NL"/>
              </w:rPr>
              <w:t>CỘNG HOÀ XÃ HỘI CHỦ NGHĨA VIỆT NAM</w:t>
            </w:r>
          </w:p>
          <w:p>
            <w:pPr>
              <w:jc w:val="center"/>
              <w:rPr>
                <w:sz w:val="28"/>
                <w:szCs w:val="28"/>
              </w:rPr>
            </w:pPr>
            <w:r>
              <w:rPr>
                <w:b/>
                <w:sz w:val="28"/>
                <w:szCs w:val="28"/>
              </w:rPr>
              <w:t>Độc lập - Tự do - Hạnh phúc</w:t>
            </w:r>
          </w:p>
          <w:p>
            <w:pPr>
              <w:jc w:val="center"/>
            </w:pPr>
            <w:r>
              <w:rPr>
                <w:b/>
                <w:noProof/>
                <w:sz w:val="26"/>
                <w:szCs w:val="28"/>
              </w:rPr>
              <mc:AlternateContent>
                <mc:Choice Requires="wps">
                  <w:drawing>
                    <wp:anchor distT="4294967295" distB="4294967295" distL="114300" distR="114300" simplePos="0" relativeHeight="251658240" behindDoc="0" locked="0" layoutInCell="1" allowOverlap="1">
                      <wp:simplePos x="0" y="0"/>
                      <wp:positionH relativeFrom="column">
                        <wp:posOffset>699770</wp:posOffset>
                      </wp:positionH>
                      <wp:positionV relativeFrom="paragraph">
                        <wp:posOffset>33325</wp:posOffset>
                      </wp:positionV>
                      <wp:extent cx="21336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2.6pt" to="223.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q7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"/>
                  </w:pict>
                </mc:Fallback>
              </mc:AlternateContent>
            </w:r>
            <w:r>
              <w:rPr>
                <w:sz w:val="22"/>
                <w:vertAlign w:val="superscript"/>
              </w:rPr>
              <w:t xml:space="preserve"> </w:t>
            </w:r>
            <w:r>
              <w:rPr>
                <w:i/>
                <w:sz w:val="26"/>
                <w:szCs w:val="26"/>
              </w:rPr>
              <w:t xml:space="preserve">                       </w:t>
            </w:r>
          </w:p>
          <w:p>
            <w:pPr>
              <w:jc w:val="center"/>
              <w:rPr>
                <w:rFonts w:ascii=".VnTime" w:hAnsi=".VnTime"/>
                <w:sz w:val="28"/>
                <w:szCs w:val="28"/>
              </w:rPr>
            </w:pPr>
            <w:r>
              <w:rPr>
                <w:i/>
                <w:sz w:val="28"/>
                <w:szCs w:val="28"/>
              </w:rPr>
              <w:t>Lộc Hà, ngày       tháng 6 năm 2023</w:t>
            </w:r>
          </w:p>
        </w:tc>
      </w:tr>
    </w:tbl>
    <w:p>
      <w:pPr>
        <w:rPr>
          <w:sz w:val="16"/>
          <w:szCs w:val="16"/>
        </w:rPr>
      </w:pPr>
    </w:p>
    <w:p>
      <w:pPr>
        <w:rPr>
          <w:sz w:val="16"/>
          <w:szCs w:val="16"/>
        </w:rPr>
      </w:pPr>
    </w:p>
    <w:tbl>
      <w:tblPr>
        <w:tblW w:w="6720" w:type="dxa"/>
        <w:jc w:val="center"/>
        <w:tblBorders>
          <w:insideH w:val="single" w:sz="4" w:space="0" w:color="auto"/>
        </w:tblBorders>
        <w:tblLook w:val="04A0" w:firstRow="1" w:lastRow="0" w:firstColumn="1" w:lastColumn="0" w:noHBand="0" w:noVBand="1"/>
      </w:tblPr>
      <w:tblGrid>
        <w:gridCol w:w="2513"/>
        <w:gridCol w:w="4207"/>
      </w:tblGrid>
      <w:tr>
        <w:trPr>
          <w:trHeight w:val="369"/>
          <w:jc w:val="center"/>
        </w:trPr>
        <w:tc>
          <w:tcPr>
            <w:tcW w:w="2513" w:type="dxa"/>
            <w:shd w:val="clear" w:color="auto" w:fill="auto"/>
          </w:tcPr>
          <w:p>
            <w:pPr>
              <w:ind w:right="38"/>
              <w:jc w:val="right"/>
              <w:rPr>
                <w:bCs/>
                <w:sz w:val="28"/>
                <w:szCs w:val="28"/>
              </w:rPr>
            </w:pPr>
            <w:r>
              <w:rPr>
                <w:bCs/>
                <w:sz w:val="28"/>
                <w:szCs w:val="28"/>
              </w:rPr>
              <w:t xml:space="preserve">  Kính gửi:   </w:t>
            </w:r>
          </w:p>
        </w:tc>
        <w:tc>
          <w:tcPr>
            <w:tcW w:w="4207" w:type="dxa"/>
            <w:shd w:val="clear" w:color="auto" w:fill="auto"/>
          </w:tcPr>
          <w:p>
            <w:pPr>
              <w:tabs>
                <w:tab w:val="left" w:pos="4111"/>
              </w:tabs>
              <w:rPr>
                <w:bCs/>
                <w:i/>
                <w:sz w:val="28"/>
                <w:szCs w:val="28"/>
              </w:rPr>
            </w:pPr>
            <w:r>
              <w:rPr>
                <w:bCs/>
                <w:sz w:val="28"/>
                <w:szCs w:val="28"/>
              </w:rPr>
              <w:t xml:space="preserve"> Sở Tài chính.</w:t>
            </w:r>
          </w:p>
        </w:tc>
      </w:tr>
    </w:tbl>
    <w:p>
      <w:pPr>
        <w:ind w:firstLine="709"/>
        <w:rPr>
          <w:bCs/>
          <w:sz w:val="28"/>
          <w:szCs w:val="28"/>
        </w:rPr>
      </w:pPr>
      <w:r>
        <w:rPr>
          <w:bCs/>
          <w:sz w:val="28"/>
          <w:szCs w:val="28"/>
          <w:lang w:val="vi-VN"/>
        </w:rPr>
        <w:t xml:space="preserve">            </w:t>
      </w:r>
    </w:p>
    <w:p>
      <w:pPr>
        <w:spacing w:before="60" w:after="60" w:line="360" w:lineRule="exact"/>
        <w:ind w:firstLine="720"/>
        <w:jc w:val="both"/>
        <w:rPr>
          <w:sz w:val="28"/>
          <w:szCs w:val="28"/>
          <w:lang w:val="nl-NL"/>
        </w:rPr>
      </w:pPr>
      <w:r>
        <w:rPr>
          <w:sz w:val="28"/>
          <w:szCs w:val="28"/>
          <w:lang w:val="nl-NL"/>
        </w:rPr>
        <w:t>Thực hiện Văn bản số 2260/STC-NS  ngày 05/6/2023 của Sở Tài chính về việc đề nghị góp ý Dự thảo Nghị quyết quy định biểu mẫu, thời gian gửi báo cáo kế hoạch tài chính 05 năm, kế hoạch tài chính - ngân sách nhà nước 03 năm, dự toán, phân bổ ngân sách và quyết toán ngân sách địa phương; thời gian giao dự toán và phê chuẩn quyết toán NSĐP. UBND huyện Lộc Hà có ý kiến như sau:</w:t>
      </w:r>
    </w:p>
    <w:p>
      <w:pPr>
        <w:spacing w:before="60" w:after="60" w:line="360" w:lineRule="exact"/>
        <w:ind w:firstLine="720"/>
        <w:jc w:val="both"/>
        <w:rPr>
          <w:sz w:val="28"/>
          <w:szCs w:val="28"/>
          <w:lang w:val="nl-NL"/>
        </w:rPr>
      </w:pPr>
      <w:r>
        <w:rPr>
          <w:sz w:val="28"/>
          <w:szCs w:val="28"/>
          <w:lang w:val="nl-NL"/>
        </w:rPr>
        <w:t>1. Đề nghị điều chỉnh lùi thời gian thực hiện trình, phê duyệt quyết toán các cấp ngân sách so với dự thảo Nghị quyết. Cụ thể, tại Điều 05 “Quyết toán ngân sách địa phương”:</w:t>
      </w:r>
    </w:p>
    <w:p>
      <w:pPr>
        <w:spacing w:before="60" w:after="60" w:line="360" w:lineRule="exact"/>
        <w:ind w:firstLine="720"/>
        <w:jc w:val="both"/>
        <w:rPr>
          <w:sz w:val="28"/>
          <w:szCs w:val="28"/>
          <w:lang w:val="nl-NL"/>
        </w:rPr>
      </w:pPr>
      <w:r>
        <w:rPr>
          <w:sz w:val="28"/>
          <w:szCs w:val="28"/>
          <w:lang w:val="nl-NL"/>
        </w:rPr>
        <w:t>- Cấp xã: Trước ngày 01/5 hàng năm, UBND cấp xã lập quyết toán ngân sách cấp xã gửi Ban kinh tế - xã hội của Hội đồng nhân dân cấp xã để thẩm tra, đồng thời gửi cơ quan tài chính cấp huyện; Hội đồng nhân dân cấp xã phê chuẩn quyết toán ngân sách xã năm trước chậm nhất ngày 15/5 hàng năm.</w:t>
      </w:r>
    </w:p>
    <w:p>
      <w:pPr>
        <w:spacing w:before="60" w:after="60" w:line="360" w:lineRule="exact"/>
        <w:ind w:firstLine="720"/>
        <w:jc w:val="both"/>
        <w:rPr>
          <w:sz w:val="28"/>
          <w:szCs w:val="28"/>
          <w:lang w:val="nl-NL"/>
        </w:rPr>
      </w:pPr>
      <w:r>
        <w:rPr>
          <w:sz w:val="28"/>
          <w:szCs w:val="28"/>
          <w:lang w:val="nl-NL"/>
        </w:rPr>
        <w:t>- Cấp huyện: Cơ quan tài chính cấp huyện thẩm định quyết toán thu, chi ngân sách xã đã được Hội đồng nhân dân cấp xã phê chuẩn; thẩm định, xét duyệt quyết toán ngân sách các đơn vị dự toán cấp I thuộc cấp mình; tổng hợp, lập báo cáo quyết toán ngân sách địa phương (bao gồm cấp huyện, cấp xã) trình Ủy ban nhân dân cấp huyện để gửi Ban kinh tế - xã hội của Hội đồng nhân dân cấp huyện trước ngày 30/6 hàng năm để thẩm tra, đồng thời gửi Sở Tài chính.</w:t>
      </w:r>
    </w:p>
    <w:p>
      <w:pPr>
        <w:spacing w:before="60" w:after="60" w:line="360" w:lineRule="exact"/>
        <w:ind w:firstLine="720"/>
        <w:jc w:val="both"/>
        <w:rPr>
          <w:sz w:val="28"/>
          <w:szCs w:val="28"/>
          <w:lang w:val="nl-NL"/>
        </w:rPr>
      </w:pPr>
      <w:r>
        <w:rPr>
          <w:sz w:val="28"/>
          <w:szCs w:val="28"/>
          <w:lang w:val="nl-NL"/>
        </w:rPr>
        <w:t>Ủy ban nhân dân cấp huyện báo cáo Thường trực Hội đồng nhân dân cấp huyện quyết toán ngân sách để cho ý kiến. Sau khi có ý kiến của Thường trực Hội đồng nhân dân cấp huyện, Ủy ban nhân dân cấp huyện trình Hội đồng nhân dân cấp huyện xem xét, phê chuẩn quyết toán ngân sách; đảm bảo việc phê chuẩn quyết toán hoàn thành trước ngày 15/7 hàng năm.</w:t>
      </w:r>
    </w:p>
    <w:p>
      <w:pPr>
        <w:spacing w:before="60" w:after="60" w:line="360" w:lineRule="exact"/>
        <w:ind w:firstLine="720"/>
        <w:jc w:val="both"/>
        <w:rPr>
          <w:sz w:val="28"/>
          <w:szCs w:val="28"/>
          <w:lang w:val="nl-NL"/>
        </w:rPr>
      </w:pPr>
      <w:r>
        <w:rPr>
          <w:sz w:val="28"/>
          <w:szCs w:val="28"/>
          <w:lang w:val="nl-NL"/>
        </w:rPr>
        <w:t xml:space="preserve">- Cấp tỉnh: Sở Tài chính thẩm định quyết toán ngân sách huyện đã được Hội đồng nhân dân cấp huyện phê chuẩn; thẩm định, xét duyệt quyết toán ngân sách các đơn vị dự toán cấp I thuộc cấp mình; tổng hợp, lập báo cáo quyết toán thu ngân sách nhà nước trên địa bàn tỉnh và quyết toán thu, chi ngân sách địa phương trình Ủy ban nhân dân tỉnh để gửi Ban kinh tế - ngân sách của Hội đồng </w:t>
      </w:r>
      <w:r>
        <w:rPr>
          <w:sz w:val="28"/>
          <w:szCs w:val="28"/>
          <w:lang w:val="nl-NL"/>
        </w:rPr>
        <w:lastRenderedPageBreak/>
        <w:t>nhân dân tỉnh thẩm tra trước ngày 30/8 hàng năm, đồng thời gửi Bộ Tài chính, Kiểm toán Nhà nước.</w:t>
      </w:r>
    </w:p>
    <w:p>
      <w:pPr>
        <w:spacing w:before="60" w:after="60" w:line="360" w:lineRule="exact"/>
        <w:ind w:firstLine="720"/>
        <w:jc w:val="both"/>
        <w:rPr>
          <w:sz w:val="28"/>
          <w:szCs w:val="28"/>
          <w:lang w:val="nl-NL"/>
        </w:rPr>
      </w:pPr>
      <w:r>
        <w:rPr>
          <w:sz w:val="28"/>
          <w:szCs w:val="28"/>
          <w:lang w:val="nl-NL"/>
        </w:rPr>
        <w:t xml:space="preserve">2.  Lý do đề xuất: </w:t>
      </w:r>
    </w:p>
    <w:p>
      <w:pPr>
        <w:spacing w:before="60" w:after="60" w:line="360" w:lineRule="exact"/>
        <w:ind w:firstLine="720"/>
        <w:jc w:val="both"/>
        <w:rPr>
          <w:sz w:val="28"/>
          <w:szCs w:val="28"/>
          <w:lang w:val="nl-NL"/>
        </w:rPr>
      </w:pPr>
      <w:r>
        <w:rPr>
          <w:sz w:val="28"/>
          <w:szCs w:val="28"/>
          <w:lang w:val="nl-NL"/>
        </w:rPr>
        <w:t>- Hiện nay, để Quyết toán được NSNN, cấp huyện phải thực hiện thêm 01 bước trình HĐND huyện cho phép kéo dài thời gian thực hiện và giải ngân kế hoạch vốn đầu tư công do cấp huyện, cấp xã quản lý (bao gồm phần vốn ngân sách XDCB tập trung BSMT cho NS cấp huyện). Sau khi HĐND huyện họp thông qua Nghị quyết, thì cấp huyện, cấp xã mới th</w:t>
      </w:r>
      <w:bookmarkStart w:id="0" w:name="_GoBack"/>
      <w:bookmarkEnd w:id="0"/>
      <w:r>
        <w:rPr>
          <w:sz w:val="28"/>
          <w:szCs w:val="28"/>
          <w:lang w:val="nl-NL"/>
        </w:rPr>
        <w:t>ực hiện đảm bảo đầy đủ thủ tục chuyển nguồn ngân sách cấp mình và thực hiện tổng hợp quyết toán NSNN trình các ban thẩm định và HĐND phê duyệt. Do đó việc quy định chậm nhất trước ngày 10/3 Hội đồng nhân dân cấp xã phê chuẩn quyết toán ngân sách xã là quá gấp, chưa phù hợp với thực tế.</w:t>
      </w:r>
    </w:p>
    <w:p>
      <w:pPr>
        <w:spacing w:before="60" w:after="60" w:line="360" w:lineRule="exact"/>
        <w:ind w:firstLine="720"/>
        <w:jc w:val="both"/>
        <w:rPr>
          <w:sz w:val="28"/>
          <w:szCs w:val="28"/>
          <w:lang w:val="nl-NL"/>
        </w:rPr>
      </w:pPr>
      <w:r>
        <w:rPr>
          <w:sz w:val="28"/>
          <w:szCs w:val="28"/>
          <w:lang w:val="nl-NL"/>
        </w:rPr>
        <w:t>-  Theo quy định về xử lý, thu chi NSNN cuối năm: Chậm nhất đến 10/2 đơn vị dự toán đối chiếu số dư dự toán KBNN, sau thời gian này, KBNN huyện, các đơn vị dự toán và bao gồm cả chi cục thuế khu vực thực tế còn có sự điều chỉnh số liệu do sai sót trong quá trình hạch toán, điều tiết…. vì vậy việc quy định 10/3 phê chuẩn quyết toán NSX là quá gấp, kéo theo thời gian HĐND huyện phê chuẩn quyết toán cũng chưa phù hợp.</w:t>
      </w:r>
    </w:p>
    <w:p>
      <w:pPr>
        <w:spacing w:before="60" w:after="60" w:line="360" w:lineRule="exact"/>
        <w:ind w:firstLine="720"/>
        <w:jc w:val="both"/>
        <w:rPr>
          <w:sz w:val="28"/>
          <w:szCs w:val="28"/>
          <w:lang w:val="nl-NL"/>
        </w:rPr>
      </w:pPr>
      <w:r>
        <w:rPr>
          <w:sz w:val="28"/>
          <w:szCs w:val="28"/>
          <w:lang w:val="nl-NL"/>
        </w:rPr>
        <w:t>Ủy ban nhân dân huyện Lộc Hà báo cáo để Sở Tài chính tổng hợp góp ý, báo cáo UBND tỉnh xem xét theo quy định./.</w:t>
      </w:r>
    </w:p>
    <w:p>
      <w:pPr>
        <w:spacing w:line="360" w:lineRule="auto"/>
        <w:ind w:firstLine="720"/>
        <w:jc w:val="both"/>
        <w:rPr>
          <w:sz w:val="4"/>
          <w:szCs w:val="28"/>
          <w:lang w:val="nl-NL"/>
        </w:rPr>
      </w:pPr>
    </w:p>
    <w:tbl>
      <w:tblPr>
        <w:tblW w:w="9001" w:type="dxa"/>
        <w:jc w:val="center"/>
        <w:tblInd w:w="-1062" w:type="dxa"/>
        <w:tblLayout w:type="fixed"/>
        <w:tblLook w:val="0000" w:firstRow="0" w:lastRow="0" w:firstColumn="0" w:lastColumn="0" w:noHBand="0" w:noVBand="0"/>
      </w:tblPr>
      <w:tblGrid>
        <w:gridCol w:w="4395"/>
        <w:gridCol w:w="4606"/>
      </w:tblGrid>
      <w:tr>
        <w:trPr>
          <w:jc w:val="center"/>
        </w:trPr>
        <w:tc>
          <w:tcPr>
            <w:tcW w:w="4395" w:type="dxa"/>
          </w:tcPr>
          <w:p>
            <w:pPr>
              <w:jc w:val="both"/>
              <w:rPr>
                <w:b/>
                <w:bCs/>
                <w:lang w:val="nl-NL"/>
              </w:rPr>
            </w:pPr>
            <w:r>
              <w:rPr>
                <w:b/>
                <w:bCs/>
                <w:i/>
                <w:iCs/>
                <w:lang w:val="nl-NL"/>
              </w:rPr>
              <w:t>Nơi nhận</w:t>
            </w:r>
            <w:r>
              <w:rPr>
                <w:b/>
                <w:bCs/>
                <w:lang w:val="nl-NL"/>
              </w:rPr>
              <w:t>:</w:t>
            </w:r>
          </w:p>
          <w:p>
            <w:pPr>
              <w:jc w:val="both"/>
              <w:rPr>
                <w:sz w:val="22"/>
                <w:szCs w:val="22"/>
                <w:lang w:val="nl-NL"/>
              </w:rPr>
            </w:pPr>
            <w:r>
              <w:rPr>
                <w:sz w:val="22"/>
                <w:szCs w:val="22"/>
                <w:lang w:val="nl-NL"/>
              </w:rPr>
              <w:t>- Như trên;</w:t>
            </w:r>
          </w:p>
          <w:p>
            <w:pPr>
              <w:jc w:val="both"/>
              <w:rPr>
                <w:sz w:val="22"/>
                <w:szCs w:val="22"/>
                <w:lang w:val="nl-NL"/>
              </w:rPr>
            </w:pPr>
            <w:r>
              <w:rPr>
                <w:sz w:val="22"/>
                <w:szCs w:val="22"/>
                <w:lang w:val="nl-NL"/>
              </w:rPr>
              <w:t>- Chủ tịch, các PCT UBND huyện;</w:t>
            </w:r>
          </w:p>
          <w:p>
            <w:pPr>
              <w:jc w:val="both"/>
              <w:rPr>
                <w:sz w:val="22"/>
                <w:szCs w:val="22"/>
                <w:lang w:val="nl-NL"/>
              </w:rPr>
            </w:pPr>
            <w:r>
              <w:rPr>
                <w:sz w:val="22"/>
                <w:szCs w:val="22"/>
                <w:lang w:val="nl-NL"/>
              </w:rPr>
              <w:t>- Lưu: VT, TCKH.</w:t>
            </w:r>
          </w:p>
          <w:p>
            <w:pPr>
              <w:ind w:hanging="108"/>
              <w:jc w:val="both"/>
              <w:rPr>
                <w:sz w:val="29"/>
                <w:lang w:val="nl-NL"/>
              </w:rPr>
            </w:pPr>
          </w:p>
        </w:tc>
        <w:tc>
          <w:tcPr>
            <w:tcW w:w="4606" w:type="dxa"/>
          </w:tcPr>
          <w:p>
            <w:pPr>
              <w:jc w:val="center"/>
              <w:rPr>
                <w:b/>
                <w:bCs/>
                <w:sz w:val="26"/>
                <w:szCs w:val="26"/>
                <w:lang w:val="nl-NL"/>
              </w:rPr>
            </w:pPr>
            <w:r>
              <w:rPr>
                <w:b/>
                <w:bCs/>
                <w:sz w:val="26"/>
                <w:szCs w:val="26"/>
                <w:lang w:val="nl-NL"/>
              </w:rPr>
              <w:t>TM. ỦY BAN NHÂN DÂN</w:t>
            </w:r>
          </w:p>
          <w:p>
            <w:pPr>
              <w:ind w:left="-480" w:firstLine="480"/>
              <w:jc w:val="center"/>
              <w:rPr>
                <w:b/>
                <w:bCs/>
                <w:sz w:val="26"/>
                <w:szCs w:val="26"/>
                <w:lang w:val="nl-NL"/>
              </w:rPr>
            </w:pPr>
            <w:r>
              <w:rPr>
                <w:b/>
                <w:bCs/>
                <w:sz w:val="26"/>
                <w:szCs w:val="26"/>
                <w:lang w:val="nl-NL"/>
              </w:rPr>
              <w:t>KT. CHỦ TỊCH</w:t>
            </w:r>
          </w:p>
          <w:p>
            <w:pPr>
              <w:ind w:left="-480" w:firstLine="480"/>
              <w:jc w:val="center"/>
              <w:rPr>
                <w:b/>
                <w:bCs/>
                <w:sz w:val="26"/>
                <w:szCs w:val="26"/>
                <w:lang w:val="nl-NL"/>
              </w:rPr>
            </w:pPr>
            <w:r>
              <w:rPr>
                <w:b/>
                <w:bCs/>
                <w:sz w:val="26"/>
                <w:szCs w:val="26"/>
                <w:lang w:val="nl-NL"/>
              </w:rPr>
              <w:t>PHÓ CHỦ TỊCH</w:t>
            </w:r>
          </w:p>
          <w:p>
            <w:pPr>
              <w:jc w:val="center"/>
              <w:rPr>
                <w:sz w:val="6"/>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jc w:val="center"/>
              <w:rPr>
                <w:sz w:val="12"/>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jc w:val="center"/>
              <w:rPr>
                <w:sz w:val="6"/>
                <w:szCs w:val="6"/>
                <w:lang w:val="nl-NL"/>
              </w:rPr>
            </w:pPr>
          </w:p>
          <w:p>
            <w:pPr>
              <w:rPr>
                <w:sz w:val="29"/>
                <w:lang w:val="nl-NL"/>
              </w:rPr>
            </w:pPr>
          </w:p>
          <w:p>
            <w:pPr>
              <w:pStyle w:val="Heading3"/>
              <w:rPr>
                <w:rFonts w:ascii="Times New Roman" w:hAnsi="Times New Roman"/>
                <w:szCs w:val="29"/>
              </w:rPr>
            </w:pPr>
            <w:r>
              <w:rPr>
                <w:rFonts w:ascii="Times New Roman" w:hAnsi="Times New Roman"/>
                <w:lang w:val="nl-NL"/>
              </w:rPr>
              <w:t xml:space="preserve">  </w:t>
            </w:r>
            <w:r>
              <w:rPr>
                <w:rFonts w:ascii="Times New Roman" w:hAnsi="Times New Roman"/>
              </w:rPr>
              <w:t>Nguyễn  Văn  An</w:t>
            </w:r>
          </w:p>
        </w:tc>
      </w:tr>
    </w:tbl>
    <w:p>
      <w:pPr>
        <w:spacing w:after="120" w:line="312" w:lineRule="auto"/>
        <w:jc w:val="both"/>
        <w:rPr>
          <w:b/>
          <w:i/>
          <w:sz w:val="8"/>
          <w:szCs w:val="28"/>
        </w:rPr>
      </w:pPr>
    </w:p>
    <w:p>
      <w:pPr>
        <w:spacing w:after="120"/>
        <w:jc w:val="both"/>
        <w:rPr>
          <w:color w:val="FF0000"/>
        </w:rPr>
      </w:pPr>
    </w:p>
    <w:sectPr>
      <w:headerReference w:type="default" r:id="rId9"/>
      <w:footerReference w:type="even" r:id="rId10"/>
      <w:footerReference w:type="default" r:id="rId11"/>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rPr>
        <w:sz w:val="16"/>
        <w:szCs w:val="16"/>
      </w:rPr>
    </w:pPr>
  </w:p>
  <w:p>
    <w:pPr>
      <w:pStyle w:val="Footer"/>
      <w:rPr>
        <w:i/>
        <w:iCs/>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57201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C66F40"/>
    <w:multiLevelType w:val="hybridMultilevel"/>
    <w:tmpl w:val="F67A682C"/>
    <w:lvl w:ilvl="0" w:tplc="22463FE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4">
    <w:nsid w:val="4DF613E9"/>
    <w:multiLevelType w:val="hybridMultilevel"/>
    <w:tmpl w:val="37CAC49E"/>
    <w:lvl w:ilvl="0" w:tplc="9118D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8"/>
    </w:rPr>
  </w:style>
  <w:style w:type="paragraph" w:customStyle="1" w:styleId="Char0">
    <w:name w:val="Char"/>
    <w:basedOn w:val="Normal"/>
    <w:pPr>
      <w:spacing w:after="160" w:line="240" w:lineRule="exact"/>
    </w:pPr>
    <w:rPr>
      <w:rFonts w:ascii="Verdana" w:hAnsi="Verdana" w:cs="Verdana"/>
      <w:sz w:val="20"/>
      <w:szCs w:val="28"/>
    </w:r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8"/>
    </w:rPr>
  </w:style>
  <w:style w:type="paragraph" w:customStyle="1" w:styleId="Char0">
    <w:name w:val="Char"/>
    <w:basedOn w:val="Normal"/>
    <w:pPr>
      <w:spacing w:after="160" w:line="240" w:lineRule="exact"/>
    </w:pPr>
    <w:rPr>
      <w:rFonts w:ascii="Verdana" w:hAnsi="Verdana" w:cs="Verdana"/>
      <w:sz w:val="20"/>
      <w:szCs w:val="28"/>
    </w:r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F0D7-C8D3-41D7-BF8D-4D6E5F0D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UỶ BAN NHÂN DÂN</vt:lpstr>
    </vt:vector>
  </TitlesOfParts>
  <Company>andongnhi.violet.vn</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tiu</dc:creator>
  <cp:lastModifiedBy>LQD</cp:lastModifiedBy>
  <cp:revision>4</cp:revision>
  <cp:lastPrinted>2018-11-28T10:13:00Z</cp:lastPrinted>
  <dcterms:created xsi:type="dcterms:W3CDTF">2023-06-08T10:50:00Z</dcterms:created>
  <dcterms:modified xsi:type="dcterms:W3CDTF">2023-06-08T11:22:00Z</dcterms:modified>
</cp:coreProperties>
</file>